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512F" w14:textId="77777777" w:rsidR="008D4FFB" w:rsidRDefault="008D4FFB" w:rsidP="002839AC">
      <w:pPr>
        <w:pStyle w:val="NoSpacing"/>
      </w:pPr>
    </w:p>
    <w:p w14:paraId="4F1A4912" w14:textId="77777777" w:rsidR="008D4FFB" w:rsidRDefault="008D4FFB" w:rsidP="007F1F21">
      <w:pPr>
        <w:pStyle w:val="NoSpacing"/>
        <w:jc w:val="center"/>
      </w:pPr>
    </w:p>
    <w:p w14:paraId="3E721EF1" w14:textId="77777777" w:rsidR="008D4FFB" w:rsidRDefault="002839AC" w:rsidP="007F1F21">
      <w:pPr>
        <w:pStyle w:val="NoSpacing"/>
        <w:jc w:val="center"/>
      </w:pPr>
      <w:r w:rsidRPr="00317A8F">
        <w:rPr>
          <w:noProof/>
        </w:rPr>
        <w:drawing>
          <wp:inline distT="0" distB="0" distL="0" distR="0" wp14:anchorId="01D11F7D" wp14:editId="4EB1BD6D">
            <wp:extent cx="2143125" cy="528016"/>
            <wp:effectExtent l="0" t="0" r="0" b="5715"/>
            <wp:docPr id="1" name="Picture 1" descr="CAHA logo_cmyk hi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A logo_cmyk hi r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7123" cy="536392"/>
                    </a:xfrm>
                    <a:prstGeom prst="rect">
                      <a:avLst/>
                    </a:prstGeom>
                    <a:noFill/>
                    <a:ln>
                      <a:noFill/>
                    </a:ln>
                  </pic:spPr>
                </pic:pic>
              </a:graphicData>
            </a:graphic>
          </wp:inline>
        </w:drawing>
      </w:r>
    </w:p>
    <w:p w14:paraId="3B19D081" w14:textId="77777777" w:rsidR="002839AC" w:rsidRDefault="002839AC" w:rsidP="007F1F21">
      <w:pPr>
        <w:pStyle w:val="NoSpacing"/>
        <w:jc w:val="center"/>
      </w:pPr>
    </w:p>
    <w:p w14:paraId="6860AD3E" w14:textId="77777777" w:rsidR="00A6125A" w:rsidRPr="005079A5" w:rsidRDefault="00714B8E" w:rsidP="007F1F21">
      <w:pPr>
        <w:pStyle w:val="NoSpacing"/>
        <w:jc w:val="center"/>
        <w:rPr>
          <w:rFonts w:cstheme="minorHAnsi"/>
          <w:b/>
          <w:sz w:val="24"/>
          <w:szCs w:val="24"/>
        </w:rPr>
      </w:pPr>
      <w:r w:rsidRPr="005079A5">
        <w:rPr>
          <w:rFonts w:cstheme="minorHAnsi"/>
          <w:b/>
          <w:sz w:val="24"/>
          <w:szCs w:val="24"/>
        </w:rPr>
        <w:t>Capital Area Community Nursing Network</w:t>
      </w:r>
    </w:p>
    <w:p w14:paraId="5FE30F32" w14:textId="77777777" w:rsidR="00871BA2" w:rsidRPr="005079A5" w:rsidRDefault="00325098" w:rsidP="007F1F21">
      <w:pPr>
        <w:pStyle w:val="NoSpacing"/>
        <w:jc w:val="center"/>
        <w:rPr>
          <w:rFonts w:cstheme="minorHAnsi"/>
          <w:b/>
          <w:sz w:val="24"/>
          <w:szCs w:val="24"/>
        </w:rPr>
      </w:pPr>
      <w:r w:rsidRPr="005079A5">
        <w:rPr>
          <w:rFonts w:cstheme="minorHAnsi"/>
          <w:b/>
          <w:sz w:val="24"/>
          <w:szCs w:val="24"/>
        </w:rPr>
        <w:t>Meeting</w:t>
      </w:r>
      <w:r w:rsidR="00871BA2" w:rsidRPr="005079A5">
        <w:rPr>
          <w:rFonts w:cstheme="minorHAnsi"/>
          <w:b/>
          <w:sz w:val="24"/>
          <w:szCs w:val="24"/>
        </w:rPr>
        <w:t xml:space="preserve"> Minutes</w:t>
      </w:r>
    </w:p>
    <w:p w14:paraId="24CACBAE" w14:textId="77777777" w:rsidR="007F1F21" w:rsidRPr="005079A5" w:rsidRDefault="00714B8E" w:rsidP="007F1F21">
      <w:pPr>
        <w:pStyle w:val="NoSpacing"/>
        <w:jc w:val="center"/>
        <w:rPr>
          <w:rFonts w:cstheme="minorHAnsi"/>
          <w:b/>
          <w:sz w:val="24"/>
          <w:szCs w:val="24"/>
        </w:rPr>
      </w:pPr>
      <w:r w:rsidRPr="005079A5">
        <w:rPr>
          <w:rFonts w:cstheme="minorHAnsi"/>
          <w:b/>
          <w:sz w:val="24"/>
          <w:szCs w:val="24"/>
        </w:rPr>
        <w:t>August 12, 2020</w:t>
      </w:r>
    </w:p>
    <w:p w14:paraId="12F495E0" w14:textId="77777777" w:rsidR="00871BA2" w:rsidRPr="005079A5" w:rsidRDefault="00871BA2" w:rsidP="00871BA2">
      <w:pPr>
        <w:pStyle w:val="NoSpacing"/>
        <w:rPr>
          <w:rFonts w:cstheme="minorHAnsi"/>
          <w:sz w:val="24"/>
          <w:szCs w:val="24"/>
        </w:rPr>
      </w:pPr>
    </w:p>
    <w:p w14:paraId="4C2666AD" w14:textId="77777777" w:rsidR="00871BA2" w:rsidRPr="005079A5" w:rsidRDefault="00871BA2" w:rsidP="00871BA2">
      <w:pPr>
        <w:pStyle w:val="NoSpacing"/>
        <w:rPr>
          <w:rFonts w:cstheme="minorHAnsi"/>
          <w:sz w:val="24"/>
          <w:szCs w:val="24"/>
        </w:rPr>
      </w:pPr>
    </w:p>
    <w:p w14:paraId="783DCC71" w14:textId="77777777" w:rsidR="00871BA2" w:rsidRPr="005079A5" w:rsidRDefault="00871BA2" w:rsidP="00871BA2">
      <w:pPr>
        <w:pStyle w:val="NoSpacing"/>
        <w:rPr>
          <w:rFonts w:cstheme="minorHAnsi"/>
          <w:b/>
          <w:sz w:val="24"/>
          <w:szCs w:val="24"/>
          <w:u w:val="single"/>
        </w:rPr>
        <w:sectPr w:rsidR="00871BA2" w:rsidRPr="005079A5">
          <w:pgSz w:w="12240" w:h="15840"/>
          <w:pgMar w:top="1440" w:right="1440" w:bottom="1440" w:left="1440" w:header="720" w:footer="720" w:gutter="0"/>
          <w:cols w:space="720"/>
          <w:docGrid w:linePitch="360"/>
        </w:sectPr>
      </w:pPr>
      <w:r w:rsidRPr="005079A5">
        <w:rPr>
          <w:rFonts w:cstheme="minorHAnsi"/>
          <w:b/>
          <w:sz w:val="24"/>
          <w:szCs w:val="24"/>
          <w:u w:val="single"/>
        </w:rPr>
        <w:t xml:space="preserve">Participants </w:t>
      </w:r>
    </w:p>
    <w:p w14:paraId="75D903D5" w14:textId="77777777" w:rsidR="00325098" w:rsidRPr="005079A5" w:rsidRDefault="00325098" w:rsidP="00871BA2">
      <w:pPr>
        <w:pStyle w:val="NoSpacing"/>
        <w:rPr>
          <w:rFonts w:cstheme="minorHAnsi"/>
          <w:sz w:val="24"/>
          <w:szCs w:val="24"/>
        </w:rPr>
      </w:pPr>
      <w:r w:rsidRPr="005079A5">
        <w:rPr>
          <w:rFonts w:cstheme="minorHAnsi"/>
          <w:sz w:val="24"/>
          <w:szCs w:val="24"/>
        </w:rPr>
        <w:t>Angela Ackley, Eaton Rapids Medical Center</w:t>
      </w:r>
    </w:p>
    <w:p w14:paraId="2174FB17" w14:textId="77777777" w:rsidR="00325098" w:rsidRPr="005079A5" w:rsidRDefault="00325098" w:rsidP="00871BA2">
      <w:pPr>
        <w:pStyle w:val="NoSpacing"/>
        <w:rPr>
          <w:rFonts w:cstheme="minorHAnsi"/>
          <w:sz w:val="24"/>
          <w:szCs w:val="24"/>
        </w:rPr>
      </w:pPr>
      <w:r w:rsidRPr="005079A5">
        <w:rPr>
          <w:rFonts w:cstheme="minorHAnsi"/>
          <w:sz w:val="24"/>
          <w:szCs w:val="24"/>
        </w:rPr>
        <w:t>Ashley Benjamin, Holt Senior Care &amp; Rehab Center</w:t>
      </w:r>
    </w:p>
    <w:p w14:paraId="1FD16CD0" w14:textId="77777777" w:rsidR="00325098" w:rsidRPr="005079A5" w:rsidRDefault="00325098" w:rsidP="00871BA2">
      <w:pPr>
        <w:pStyle w:val="NoSpacing"/>
        <w:rPr>
          <w:rFonts w:cstheme="minorHAnsi"/>
          <w:sz w:val="24"/>
          <w:szCs w:val="24"/>
        </w:rPr>
      </w:pPr>
      <w:r w:rsidRPr="005079A5">
        <w:rPr>
          <w:rFonts w:cstheme="minorHAnsi"/>
          <w:sz w:val="24"/>
          <w:szCs w:val="24"/>
        </w:rPr>
        <w:t>Amy Brown, Sparrow Health System</w:t>
      </w:r>
    </w:p>
    <w:p w14:paraId="404817AB" w14:textId="77777777" w:rsidR="00325098" w:rsidRPr="005079A5" w:rsidRDefault="00325098" w:rsidP="00871BA2">
      <w:pPr>
        <w:pStyle w:val="NoSpacing"/>
        <w:rPr>
          <w:rFonts w:cstheme="minorHAnsi"/>
          <w:sz w:val="24"/>
          <w:szCs w:val="24"/>
        </w:rPr>
      </w:pPr>
      <w:r w:rsidRPr="005079A5">
        <w:rPr>
          <w:rFonts w:cstheme="minorHAnsi"/>
          <w:sz w:val="24"/>
          <w:szCs w:val="24"/>
        </w:rPr>
        <w:t>Shari Carson, Laurel Health Care</w:t>
      </w:r>
    </w:p>
    <w:p w14:paraId="28C0C620" w14:textId="77777777" w:rsidR="00871BA2" w:rsidRPr="005079A5" w:rsidRDefault="00871BA2" w:rsidP="00871BA2">
      <w:pPr>
        <w:pStyle w:val="NoSpacing"/>
        <w:rPr>
          <w:rFonts w:cstheme="minorHAnsi"/>
          <w:sz w:val="24"/>
          <w:szCs w:val="24"/>
        </w:rPr>
      </w:pPr>
      <w:r w:rsidRPr="005079A5">
        <w:rPr>
          <w:rFonts w:cstheme="minorHAnsi"/>
          <w:sz w:val="24"/>
          <w:szCs w:val="24"/>
        </w:rPr>
        <w:t xml:space="preserve">Mary Anne Ford, CAHA </w:t>
      </w:r>
    </w:p>
    <w:p w14:paraId="067D8CA6" w14:textId="77777777" w:rsidR="00871BA2" w:rsidRPr="005079A5" w:rsidRDefault="00871BA2" w:rsidP="00871BA2">
      <w:pPr>
        <w:pStyle w:val="NoSpacing"/>
        <w:rPr>
          <w:rFonts w:cstheme="minorHAnsi"/>
          <w:sz w:val="24"/>
          <w:szCs w:val="24"/>
        </w:rPr>
      </w:pPr>
      <w:r w:rsidRPr="005079A5">
        <w:rPr>
          <w:rFonts w:cstheme="minorHAnsi"/>
          <w:sz w:val="24"/>
          <w:szCs w:val="24"/>
        </w:rPr>
        <w:t xml:space="preserve">Kathy Hollister, CAHA  </w:t>
      </w:r>
    </w:p>
    <w:p w14:paraId="198979AC" w14:textId="77777777" w:rsidR="00325098" w:rsidRPr="005079A5" w:rsidRDefault="00325098" w:rsidP="00325098">
      <w:pPr>
        <w:pStyle w:val="NoSpacing"/>
        <w:rPr>
          <w:rFonts w:cstheme="minorHAnsi"/>
          <w:sz w:val="24"/>
          <w:szCs w:val="24"/>
        </w:rPr>
      </w:pPr>
      <w:r w:rsidRPr="005079A5">
        <w:rPr>
          <w:rFonts w:cstheme="minorHAnsi"/>
          <w:sz w:val="24"/>
          <w:szCs w:val="24"/>
        </w:rPr>
        <w:t>Jeanette Klemczak, Healthcare Consultant</w:t>
      </w:r>
    </w:p>
    <w:p w14:paraId="4A0D8C42" w14:textId="77777777" w:rsidR="00325098" w:rsidRPr="005079A5" w:rsidRDefault="00325098" w:rsidP="00325098">
      <w:pPr>
        <w:pStyle w:val="NoSpacing"/>
        <w:rPr>
          <w:rFonts w:cstheme="minorHAnsi"/>
          <w:sz w:val="24"/>
          <w:szCs w:val="24"/>
        </w:rPr>
      </w:pPr>
      <w:r w:rsidRPr="005079A5">
        <w:rPr>
          <w:rFonts w:cstheme="minorHAnsi"/>
          <w:sz w:val="24"/>
          <w:szCs w:val="24"/>
        </w:rPr>
        <w:t>Deb Leblanc, McLaren Greater Lansing</w:t>
      </w:r>
    </w:p>
    <w:p w14:paraId="04CA927A" w14:textId="77777777" w:rsidR="005C3AAB" w:rsidRPr="005079A5" w:rsidRDefault="00325098" w:rsidP="00871BA2">
      <w:pPr>
        <w:pStyle w:val="NoSpacing"/>
        <w:rPr>
          <w:rFonts w:cstheme="minorHAnsi"/>
          <w:sz w:val="24"/>
          <w:szCs w:val="24"/>
        </w:rPr>
      </w:pPr>
      <w:r w:rsidRPr="005079A5">
        <w:rPr>
          <w:rFonts w:cstheme="minorHAnsi"/>
          <w:sz w:val="24"/>
          <w:szCs w:val="24"/>
        </w:rPr>
        <w:t>Robert Rodway, Dept. of Veteran Affairs</w:t>
      </w:r>
    </w:p>
    <w:p w14:paraId="6A620545" w14:textId="77777777" w:rsidR="00325098" w:rsidRPr="005079A5" w:rsidRDefault="00325098" w:rsidP="00871BA2">
      <w:pPr>
        <w:pStyle w:val="NoSpacing"/>
        <w:rPr>
          <w:rFonts w:cstheme="minorHAnsi"/>
          <w:sz w:val="24"/>
          <w:szCs w:val="24"/>
        </w:rPr>
      </w:pPr>
      <w:r w:rsidRPr="005079A5">
        <w:rPr>
          <w:rFonts w:cstheme="minorHAnsi"/>
          <w:sz w:val="24"/>
          <w:szCs w:val="24"/>
        </w:rPr>
        <w:t>Connie Smith, LCC</w:t>
      </w:r>
    </w:p>
    <w:p w14:paraId="4D7115B0" w14:textId="77777777" w:rsidR="00871BA2" w:rsidRPr="005079A5" w:rsidRDefault="00871BA2" w:rsidP="00871BA2">
      <w:pPr>
        <w:pStyle w:val="NoSpacing"/>
        <w:rPr>
          <w:rFonts w:cstheme="minorHAnsi"/>
          <w:sz w:val="24"/>
          <w:szCs w:val="24"/>
        </w:rPr>
      </w:pPr>
      <w:r w:rsidRPr="005079A5">
        <w:rPr>
          <w:rFonts w:cstheme="minorHAnsi"/>
          <w:sz w:val="24"/>
          <w:szCs w:val="24"/>
        </w:rPr>
        <w:t xml:space="preserve">Brianna Sosebee, CAHA </w:t>
      </w:r>
    </w:p>
    <w:p w14:paraId="0659D0D1" w14:textId="77777777" w:rsidR="00871BA2" w:rsidRPr="005079A5" w:rsidRDefault="00325098" w:rsidP="007F1F21">
      <w:pPr>
        <w:pStyle w:val="NoSpacing"/>
        <w:rPr>
          <w:rFonts w:cstheme="minorHAnsi"/>
          <w:sz w:val="24"/>
          <w:szCs w:val="24"/>
        </w:rPr>
      </w:pPr>
      <w:r w:rsidRPr="005079A5">
        <w:rPr>
          <w:rFonts w:cstheme="minorHAnsi"/>
          <w:sz w:val="24"/>
          <w:szCs w:val="24"/>
        </w:rPr>
        <w:t>Patty West, MSU-CON</w:t>
      </w:r>
    </w:p>
    <w:p w14:paraId="3EAC872A" w14:textId="77777777" w:rsidR="00325098" w:rsidRPr="005079A5" w:rsidRDefault="00325098" w:rsidP="007F1F21">
      <w:pPr>
        <w:pStyle w:val="NoSpacing"/>
        <w:rPr>
          <w:rFonts w:cstheme="minorHAnsi"/>
          <w:sz w:val="24"/>
          <w:szCs w:val="24"/>
        </w:rPr>
        <w:sectPr w:rsidR="00325098" w:rsidRPr="005079A5" w:rsidSect="00871BA2">
          <w:type w:val="continuous"/>
          <w:pgSz w:w="12240" w:h="15840"/>
          <w:pgMar w:top="1440" w:right="1440" w:bottom="1440" w:left="1440" w:header="720" w:footer="720" w:gutter="0"/>
          <w:cols w:num="2" w:space="720"/>
          <w:docGrid w:linePitch="360"/>
        </w:sectPr>
      </w:pPr>
    </w:p>
    <w:p w14:paraId="7BCA3AA9" w14:textId="77777777" w:rsidR="00871BA2" w:rsidRPr="005079A5" w:rsidRDefault="00871BA2" w:rsidP="007F1F21">
      <w:pPr>
        <w:pStyle w:val="NoSpacing"/>
        <w:rPr>
          <w:rFonts w:cstheme="minorHAnsi"/>
          <w:sz w:val="24"/>
          <w:szCs w:val="24"/>
        </w:rPr>
      </w:pPr>
    </w:p>
    <w:p w14:paraId="18394E86" w14:textId="77777777" w:rsidR="00990BC9" w:rsidRPr="005079A5" w:rsidRDefault="00990BC9" w:rsidP="00990BC9">
      <w:pPr>
        <w:pStyle w:val="NoSpacing"/>
        <w:rPr>
          <w:rFonts w:cstheme="minorHAnsi"/>
          <w:sz w:val="24"/>
          <w:szCs w:val="24"/>
        </w:rPr>
      </w:pPr>
    </w:p>
    <w:p w14:paraId="69861829" w14:textId="77777777" w:rsidR="00933A71" w:rsidRPr="005079A5" w:rsidRDefault="00933A71" w:rsidP="005079A5">
      <w:pPr>
        <w:pStyle w:val="NoSpacing"/>
        <w:rPr>
          <w:rFonts w:cstheme="minorHAnsi"/>
          <w:sz w:val="24"/>
          <w:szCs w:val="24"/>
        </w:rPr>
      </w:pPr>
      <w:r w:rsidRPr="005079A5">
        <w:rPr>
          <w:rFonts w:cstheme="minorHAnsi"/>
          <w:b/>
          <w:sz w:val="24"/>
          <w:szCs w:val="24"/>
        </w:rPr>
        <w:t>Meeting Minutes.</w:t>
      </w:r>
      <w:r w:rsidR="002839AC" w:rsidRPr="005079A5">
        <w:rPr>
          <w:rFonts w:cstheme="minorHAnsi"/>
          <w:sz w:val="24"/>
          <w:szCs w:val="24"/>
        </w:rPr>
        <w:t xml:space="preserve"> The minutes from the May 13</w:t>
      </w:r>
      <w:r w:rsidRPr="005079A5">
        <w:rPr>
          <w:rFonts w:cstheme="minorHAnsi"/>
          <w:sz w:val="24"/>
          <w:szCs w:val="24"/>
        </w:rPr>
        <w:t xml:space="preserve">, 2020 meeting were approved. </w:t>
      </w:r>
    </w:p>
    <w:p w14:paraId="5859C08C" w14:textId="77777777" w:rsidR="00933A71" w:rsidRPr="005079A5" w:rsidRDefault="00933A71" w:rsidP="00933A71">
      <w:pPr>
        <w:pStyle w:val="NoSpacing"/>
        <w:rPr>
          <w:rFonts w:cstheme="minorHAnsi"/>
          <w:sz w:val="24"/>
          <w:szCs w:val="24"/>
        </w:rPr>
      </w:pPr>
    </w:p>
    <w:p w14:paraId="6A265FA0" w14:textId="77777777" w:rsidR="005079A5" w:rsidRDefault="00933A71" w:rsidP="005079A5">
      <w:pPr>
        <w:pStyle w:val="NoSpacing"/>
        <w:rPr>
          <w:rFonts w:cstheme="minorHAnsi"/>
          <w:b/>
          <w:sz w:val="24"/>
          <w:szCs w:val="24"/>
        </w:rPr>
      </w:pPr>
      <w:r w:rsidRPr="005079A5">
        <w:rPr>
          <w:rFonts w:cstheme="minorHAnsi"/>
          <w:b/>
          <w:sz w:val="24"/>
          <w:szCs w:val="24"/>
        </w:rPr>
        <w:t>CAHA Survey: Health Equity and Whole Person Care in Healthcare</w:t>
      </w:r>
      <w:r w:rsidR="00CB54E6" w:rsidRPr="005079A5">
        <w:rPr>
          <w:rFonts w:cstheme="minorHAnsi"/>
          <w:b/>
          <w:sz w:val="24"/>
          <w:szCs w:val="24"/>
        </w:rPr>
        <w:t xml:space="preserve">. </w:t>
      </w:r>
    </w:p>
    <w:p w14:paraId="063CAB08" w14:textId="7AC4C77F" w:rsidR="004A428F" w:rsidRPr="005079A5" w:rsidRDefault="004A428F" w:rsidP="005079A5">
      <w:pPr>
        <w:pStyle w:val="NoSpacing"/>
        <w:rPr>
          <w:rFonts w:cstheme="minorHAnsi"/>
          <w:sz w:val="24"/>
          <w:szCs w:val="24"/>
        </w:rPr>
      </w:pPr>
      <w:r w:rsidRPr="005079A5">
        <w:rPr>
          <w:rFonts w:cstheme="minorHAnsi"/>
          <w:sz w:val="24"/>
          <w:szCs w:val="24"/>
        </w:rPr>
        <w:t>As part of its commitment to intentionally support CAHA’s work on health equi</w:t>
      </w:r>
      <w:r w:rsidR="00E15DF7" w:rsidRPr="005079A5">
        <w:rPr>
          <w:rFonts w:cstheme="minorHAnsi"/>
          <w:sz w:val="24"/>
          <w:szCs w:val="24"/>
        </w:rPr>
        <w:t>ty and whole person care, CACNN</w:t>
      </w:r>
      <w:r w:rsidR="00720DA8" w:rsidRPr="005079A5">
        <w:rPr>
          <w:rFonts w:cstheme="minorHAnsi"/>
          <w:sz w:val="24"/>
          <w:szCs w:val="24"/>
        </w:rPr>
        <w:t xml:space="preserve"> </w:t>
      </w:r>
      <w:r w:rsidRPr="005079A5">
        <w:rPr>
          <w:rFonts w:cstheme="minorHAnsi"/>
          <w:sz w:val="24"/>
          <w:szCs w:val="24"/>
        </w:rPr>
        <w:t xml:space="preserve">developed a survey to gather information about health equity and whole person care practices in the Capital Area region. The 10-question survey was sent to 12 organizations in the tri-county region on June 24, July 14, and July 28, 2020.  The organizations receiving the survey included health systems, critical access hospitals, long-term care facilities and ambulatory care facilities.  The survey was sent to chief nursing officers in each facility.  As of July 31, five responses were returned, for a 41.7 percent return rate. </w:t>
      </w:r>
      <w:r w:rsidR="00990BC9" w:rsidRPr="005079A5">
        <w:rPr>
          <w:rFonts w:cstheme="minorHAnsi"/>
          <w:sz w:val="24"/>
          <w:szCs w:val="24"/>
        </w:rPr>
        <w:t xml:space="preserve"> Mary Anne Ford shared a review of the responses.</w:t>
      </w:r>
    </w:p>
    <w:p w14:paraId="607A0229" w14:textId="77777777" w:rsidR="004A428F" w:rsidRPr="005079A5" w:rsidRDefault="004A428F" w:rsidP="004A428F">
      <w:pPr>
        <w:pStyle w:val="NoSpacing"/>
        <w:rPr>
          <w:rFonts w:cstheme="minorHAnsi"/>
          <w:sz w:val="24"/>
          <w:szCs w:val="24"/>
        </w:rPr>
      </w:pPr>
    </w:p>
    <w:p w14:paraId="43B1B7D6" w14:textId="77777777" w:rsidR="004A428F" w:rsidRPr="005079A5" w:rsidRDefault="004A428F" w:rsidP="005079A5">
      <w:pPr>
        <w:pStyle w:val="NoSpacing"/>
        <w:rPr>
          <w:rFonts w:cstheme="minorHAnsi"/>
          <w:sz w:val="24"/>
          <w:szCs w:val="24"/>
          <w:u w:val="single"/>
        </w:rPr>
      </w:pPr>
      <w:r w:rsidRPr="005079A5">
        <w:rPr>
          <w:rFonts w:cstheme="minorHAnsi"/>
          <w:sz w:val="24"/>
          <w:szCs w:val="24"/>
          <w:u w:val="single"/>
        </w:rPr>
        <w:t xml:space="preserve">Key Findings </w:t>
      </w:r>
    </w:p>
    <w:p w14:paraId="06B86DCD" w14:textId="338FD0BB" w:rsidR="004A428F" w:rsidRPr="005079A5" w:rsidRDefault="005079A5" w:rsidP="005079A5">
      <w:pPr>
        <w:pStyle w:val="NoSpacing"/>
        <w:numPr>
          <w:ilvl w:val="0"/>
          <w:numId w:val="9"/>
        </w:numPr>
        <w:rPr>
          <w:rFonts w:cstheme="minorHAnsi"/>
          <w:sz w:val="24"/>
          <w:szCs w:val="24"/>
        </w:rPr>
      </w:pPr>
      <w:r w:rsidRPr="005079A5">
        <w:rPr>
          <w:rFonts w:cstheme="minorHAnsi"/>
          <w:sz w:val="24"/>
          <w:szCs w:val="24"/>
        </w:rPr>
        <w:t>All</w:t>
      </w:r>
      <w:r w:rsidR="004A428F" w:rsidRPr="005079A5">
        <w:rPr>
          <w:rFonts w:cstheme="minorHAnsi"/>
          <w:sz w:val="24"/>
          <w:szCs w:val="24"/>
        </w:rPr>
        <w:t xml:space="preserve"> the respondent organizations are committed to health equity and have some activity underway to promote health equity in their organizations.</w:t>
      </w:r>
    </w:p>
    <w:p w14:paraId="2BB5ABC1" w14:textId="6C4A55A7" w:rsidR="004A428F" w:rsidRPr="005079A5" w:rsidRDefault="004A428F" w:rsidP="005079A5">
      <w:pPr>
        <w:pStyle w:val="NoSpacing"/>
        <w:numPr>
          <w:ilvl w:val="0"/>
          <w:numId w:val="9"/>
        </w:numPr>
        <w:rPr>
          <w:rFonts w:cstheme="minorHAnsi"/>
          <w:sz w:val="24"/>
          <w:szCs w:val="24"/>
        </w:rPr>
      </w:pPr>
      <w:r w:rsidRPr="005079A5">
        <w:rPr>
          <w:rFonts w:cstheme="minorHAnsi"/>
          <w:sz w:val="24"/>
          <w:szCs w:val="24"/>
        </w:rPr>
        <w:t xml:space="preserve">Workforce diversity is viewed by most respondents as lacking at multiple levels, resulting in </w:t>
      </w:r>
      <w:r w:rsidR="005079A5" w:rsidRPr="005079A5">
        <w:rPr>
          <w:rFonts w:cstheme="minorHAnsi"/>
          <w:sz w:val="24"/>
          <w:szCs w:val="24"/>
        </w:rPr>
        <w:t>a workforce</w:t>
      </w:r>
      <w:r w:rsidRPr="005079A5">
        <w:rPr>
          <w:rFonts w:cstheme="minorHAnsi"/>
          <w:sz w:val="24"/>
          <w:szCs w:val="24"/>
        </w:rPr>
        <w:t xml:space="preserve"> that </w:t>
      </w:r>
      <w:r w:rsidR="005079A5" w:rsidRPr="005079A5">
        <w:rPr>
          <w:rFonts w:cstheme="minorHAnsi"/>
          <w:sz w:val="24"/>
          <w:szCs w:val="24"/>
        </w:rPr>
        <w:t>does not</w:t>
      </w:r>
      <w:r w:rsidRPr="005079A5">
        <w:rPr>
          <w:rFonts w:cstheme="minorHAnsi"/>
          <w:sz w:val="24"/>
          <w:szCs w:val="24"/>
        </w:rPr>
        <w:t xml:space="preserve"> represent the populations they serve or the community at large.  </w:t>
      </w:r>
    </w:p>
    <w:p w14:paraId="738AE83F" w14:textId="35163153" w:rsidR="004A428F" w:rsidRPr="005079A5" w:rsidRDefault="004A428F" w:rsidP="005079A5">
      <w:pPr>
        <w:pStyle w:val="NoSpacing"/>
        <w:numPr>
          <w:ilvl w:val="0"/>
          <w:numId w:val="9"/>
        </w:numPr>
        <w:rPr>
          <w:rFonts w:cstheme="minorHAnsi"/>
          <w:sz w:val="24"/>
          <w:szCs w:val="24"/>
        </w:rPr>
      </w:pPr>
      <w:r w:rsidRPr="005079A5">
        <w:rPr>
          <w:rFonts w:cstheme="minorHAnsi"/>
          <w:sz w:val="24"/>
          <w:szCs w:val="24"/>
        </w:rPr>
        <w:t xml:space="preserve">Implicit bias training is needed for those involved in patient care and hiring. </w:t>
      </w:r>
    </w:p>
    <w:p w14:paraId="32FCB0A0" w14:textId="523112B2" w:rsidR="00720DA8" w:rsidRPr="005079A5" w:rsidRDefault="004A428F" w:rsidP="005079A5">
      <w:pPr>
        <w:pStyle w:val="NoSpacing"/>
        <w:numPr>
          <w:ilvl w:val="0"/>
          <w:numId w:val="9"/>
        </w:numPr>
        <w:rPr>
          <w:rFonts w:cstheme="minorHAnsi"/>
          <w:sz w:val="24"/>
          <w:szCs w:val="24"/>
        </w:rPr>
      </w:pPr>
      <w:r w:rsidRPr="005079A5">
        <w:rPr>
          <w:rFonts w:cstheme="minorHAnsi"/>
          <w:sz w:val="24"/>
          <w:szCs w:val="24"/>
        </w:rPr>
        <w:t xml:space="preserve">Although socio-demographic data is being collected, there is little evidence of use of the data </w:t>
      </w:r>
    </w:p>
    <w:p w14:paraId="2310A7CB" w14:textId="79EC498F" w:rsidR="00067142" w:rsidRPr="005079A5" w:rsidRDefault="004A428F" w:rsidP="005079A5">
      <w:pPr>
        <w:pStyle w:val="NoSpacing"/>
        <w:numPr>
          <w:ilvl w:val="0"/>
          <w:numId w:val="9"/>
        </w:numPr>
        <w:rPr>
          <w:rFonts w:cstheme="minorHAnsi"/>
          <w:sz w:val="24"/>
          <w:szCs w:val="24"/>
        </w:rPr>
      </w:pPr>
      <w:r w:rsidRPr="005079A5">
        <w:rPr>
          <w:rFonts w:cstheme="minorHAnsi"/>
          <w:sz w:val="24"/>
          <w:szCs w:val="24"/>
        </w:rPr>
        <w:t>to identify and address health disparities created by health inequities.</w:t>
      </w:r>
    </w:p>
    <w:p w14:paraId="5101DD07" w14:textId="77777777" w:rsidR="004A428F" w:rsidRPr="005079A5" w:rsidRDefault="004A428F" w:rsidP="004A428F">
      <w:pPr>
        <w:pStyle w:val="NoSpacing"/>
        <w:ind w:left="720"/>
        <w:rPr>
          <w:rFonts w:cstheme="minorHAnsi"/>
          <w:sz w:val="24"/>
          <w:szCs w:val="24"/>
          <w:u w:val="single"/>
        </w:rPr>
      </w:pPr>
    </w:p>
    <w:p w14:paraId="38D57FB6" w14:textId="77777777" w:rsidR="004A428F" w:rsidRPr="005079A5" w:rsidRDefault="003555F6" w:rsidP="004A428F">
      <w:pPr>
        <w:pStyle w:val="NoSpacing"/>
        <w:rPr>
          <w:rFonts w:cstheme="minorHAnsi"/>
          <w:sz w:val="24"/>
          <w:szCs w:val="24"/>
        </w:rPr>
      </w:pPr>
      <w:r w:rsidRPr="005079A5">
        <w:rPr>
          <w:rFonts w:cstheme="minorHAnsi"/>
          <w:b/>
          <w:sz w:val="24"/>
          <w:szCs w:val="24"/>
        </w:rPr>
        <w:lastRenderedPageBreak/>
        <w:t>Discussion:</w:t>
      </w:r>
      <w:r w:rsidRPr="005079A5">
        <w:rPr>
          <w:rFonts w:cstheme="minorHAnsi"/>
          <w:sz w:val="24"/>
          <w:szCs w:val="24"/>
        </w:rPr>
        <w:t xml:space="preserve"> </w:t>
      </w:r>
    </w:p>
    <w:p w14:paraId="397AFAC4" w14:textId="77777777" w:rsidR="00EF05B0" w:rsidRPr="005079A5" w:rsidRDefault="00EF05B0" w:rsidP="00EF05B0">
      <w:pPr>
        <w:pStyle w:val="NoSpacing"/>
        <w:rPr>
          <w:rFonts w:cstheme="minorHAnsi"/>
          <w:b/>
          <w:sz w:val="24"/>
          <w:szCs w:val="24"/>
        </w:rPr>
      </w:pPr>
    </w:p>
    <w:p w14:paraId="3DF2FC35" w14:textId="099A67A8" w:rsidR="00EF05B0" w:rsidRPr="005079A5" w:rsidRDefault="00EF05B0" w:rsidP="00480A67">
      <w:pPr>
        <w:pStyle w:val="NoSpacing"/>
        <w:numPr>
          <w:ilvl w:val="0"/>
          <w:numId w:val="8"/>
        </w:numPr>
        <w:rPr>
          <w:rFonts w:cstheme="minorHAnsi"/>
          <w:sz w:val="24"/>
          <w:szCs w:val="24"/>
        </w:rPr>
      </w:pPr>
      <w:r w:rsidRPr="005079A5">
        <w:rPr>
          <w:rFonts w:cstheme="minorHAnsi"/>
          <w:sz w:val="24"/>
          <w:szCs w:val="24"/>
        </w:rPr>
        <w:t>What are the three things that we might want to move forward with? It is important to show what it is that we are willing and able to take on. One topic is the seamless handoff of patients from one care setting to another. This has a huge impact when things aren’t handed off smoothly. For example, the smooth transition of medication.</w:t>
      </w:r>
    </w:p>
    <w:p w14:paraId="2DC25047" w14:textId="77777777" w:rsidR="00EF05B0" w:rsidRPr="005079A5" w:rsidRDefault="00EF05B0" w:rsidP="00EF05B0">
      <w:pPr>
        <w:pStyle w:val="NoSpacing"/>
        <w:rPr>
          <w:rFonts w:cstheme="minorHAnsi"/>
          <w:sz w:val="24"/>
          <w:szCs w:val="24"/>
        </w:rPr>
      </w:pPr>
    </w:p>
    <w:p w14:paraId="128E712A" w14:textId="77777777" w:rsidR="00EF05B0" w:rsidRPr="005079A5" w:rsidRDefault="00EF05B0" w:rsidP="00480A67">
      <w:pPr>
        <w:pStyle w:val="NoSpacing"/>
        <w:numPr>
          <w:ilvl w:val="0"/>
          <w:numId w:val="8"/>
        </w:numPr>
        <w:rPr>
          <w:rFonts w:cstheme="minorHAnsi"/>
          <w:sz w:val="24"/>
          <w:szCs w:val="24"/>
        </w:rPr>
      </w:pPr>
      <w:r w:rsidRPr="005079A5">
        <w:rPr>
          <w:rFonts w:cstheme="minorHAnsi"/>
          <w:sz w:val="24"/>
          <w:szCs w:val="24"/>
        </w:rPr>
        <w:t xml:space="preserve">Another issue to possibly address is the </w:t>
      </w:r>
      <w:r w:rsidR="00820F7E" w:rsidRPr="005079A5">
        <w:rPr>
          <w:rFonts w:cstheme="minorHAnsi"/>
          <w:sz w:val="24"/>
          <w:szCs w:val="24"/>
        </w:rPr>
        <w:t>‘</w:t>
      </w:r>
      <w:r w:rsidRPr="005079A5">
        <w:rPr>
          <w:rFonts w:cstheme="minorHAnsi"/>
          <w:sz w:val="24"/>
          <w:szCs w:val="24"/>
        </w:rPr>
        <w:t>new normal</w:t>
      </w:r>
      <w:r w:rsidR="00820F7E" w:rsidRPr="005079A5">
        <w:rPr>
          <w:rFonts w:cstheme="minorHAnsi"/>
          <w:sz w:val="24"/>
          <w:szCs w:val="24"/>
        </w:rPr>
        <w:t>’</w:t>
      </w:r>
      <w:r w:rsidRPr="005079A5">
        <w:rPr>
          <w:rFonts w:cstheme="minorHAnsi"/>
          <w:sz w:val="24"/>
          <w:szCs w:val="24"/>
        </w:rPr>
        <w:t xml:space="preserve"> of a </w:t>
      </w:r>
      <w:r w:rsidR="00820F7E" w:rsidRPr="005079A5">
        <w:rPr>
          <w:rFonts w:cstheme="minorHAnsi"/>
          <w:sz w:val="24"/>
          <w:szCs w:val="24"/>
        </w:rPr>
        <w:t>limitation on</w:t>
      </w:r>
      <w:r w:rsidRPr="005079A5">
        <w:rPr>
          <w:rFonts w:cstheme="minorHAnsi"/>
          <w:sz w:val="24"/>
          <w:szCs w:val="24"/>
        </w:rPr>
        <w:t xml:space="preserve"> visitors and patient’s companions in the hospital. This includes ensuring caregivers and providers are thinking differently as far as the handoff to the next care setting and ensuring the appropriate people are getting the correct information at discharge, which is a challenge. What can we do to support both families/caregivers as well as providers?</w:t>
      </w:r>
    </w:p>
    <w:p w14:paraId="7D9802AA" w14:textId="77777777" w:rsidR="00EF05B0" w:rsidRPr="005079A5" w:rsidRDefault="00EF05B0" w:rsidP="00EF05B0">
      <w:pPr>
        <w:pStyle w:val="NoSpacing"/>
        <w:rPr>
          <w:rFonts w:cstheme="minorHAnsi"/>
          <w:sz w:val="24"/>
          <w:szCs w:val="24"/>
        </w:rPr>
      </w:pPr>
    </w:p>
    <w:p w14:paraId="4BAB2C9E" w14:textId="77777777" w:rsidR="00EF05B0" w:rsidRPr="005079A5" w:rsidRDefault="00EF05B0" w:rsidP="00480A67">
      <w:pPr>
        <w:pStyle w:val="NoSpacing"/>
        <w:numPr>
          <w:ilvl w:val="0"/>
          <w:numId w:val="8"/>
        </w:numPr>
        <w:rPr>
          <w:rFonts w:cstheme="minorHAnsi"/>
          <w:sz w:val="24"/>
          <w:szCs w:val="24"/>
        </w:rPr>
      </w:pPr>
      <w:r w:rsidRPr="005079A5">
        <w:rPr>
          <w:rFonts w:cstheme="minorHAnsi"/>
          <w:sz w:val="24"/>
          <w:szCs w:val="24"/>
        </w:rPr>
        <w:t>Our facility has noticed a difference with families of patients coming from acute care. These family members seem to be experiencing a higher level of anxiety. The transition has been ‘bumpier’ because of the dynamics going on in both settings. This is stress</w:t>
      </w:r>
      <w:r w:rsidR="00820F7E" w:rsidRPr="005079A5">
        <w:rPr>
          <w:rFonts w:cstheme="minorHAnsi"/>
          <w:sz w:val="24"/>
          <w:szCs w:val="24"/>
        </w:rPr>
        <w:t xml:space="preserve">ful for families </w:t>
      </w:r>
      <w:r w:rsidRPr="005079A5">
        <w:rPr>
          <w:rFonts w:cstheme="minorHAnsi"/>
          <w:sz w:val="24"/>
          <w:szCs w:val="24"/>
        </w:rPr>
        <w:t>who often feel like they’re left in the dark because they can’t be present.</w:t>
      </w:r>
    </w:p>
    <w:p w14:paraId="00DB82CB" w14:textId="77777777" w:rsidR="00EF05B0" w:rsidRPr="005079A5" w:rsidRDefault="00EF05B0" w:rsidP="00EF05B0">
      <w:pPr>
        <w:pStyle w:val="NoSpacing"/>
        <w:rPr>
          <w:rFonts w:cstheme="minorHAnsi"/>
          <w:sz w:val="24"/>
          <w:szCs w:val="24"/>
        </w:rPr>
      </w:pPr>
    </w:p>
    <w:p w14:paraId="00354D9D" w14:textId="6D0F871E" w:rsidR="00EF05B0" w:rsidRPr="005079A5" w:rsidRDefault="00EF05B0" w:rsidP="00480A67">
      <w:pPr>
        <w:pStyle w:val="NoSpacing"/>
        <w:numPr>
          <w:ilvl w:val="0"/>
          <w:numId w:val="8"/>
        </w:numPr>
        <w:rPr>
          <w:rFonts w:cstheme="minorHAnsi"/>
          <w:sz w:val="24"/>
          <w:szCs w:val="24"/>
        </w:rPr>
      </w:pPr>
      <w:r w:rsidRPr="005079A5">
        <w:rPr>
          <w:rFonts w:cstheme="minorHAnsi"/>
          <w:sz w:val="24"/>
          <w:szCs w:val="24"/>
        </w:rPr>
        <w:t>It is helpful to see the information from respondents who have</w:t>
      </w:r>
      <w:r w:rsidR="00820F7E" w:rsidRPr="005079A5">
        <w:rPr>
          <w:rFonts w:cstheme="minorHAnsi"/>
          <w:sz w:val="24"/>
          <w:szCs w:val="24"/>
        </w:rPr>
        <w:t xml:space="preserve"> diversity officers and/or</w:t>
      </w:r>
      <w:r w:rsidRPr="005079A5">
        <w:rPr>
          <w:rFonts w:cstheme="minorHAnsi"/>
          <w:sz w:val="24"/>
          <w:szCs w:val="24"/>
        </w:rPr>
        <w:t xml:space="preserve"> policies. Our organization has had employees asking for resources and policies, so the sharing of tools, best practices, and examples of policies would be a great start.</w:t>
      </w:r>
    </w:p>
    <w:p w14:paraId="17EF256E" w14:textId="77777777" w:rsidR="00EF05B0" w:rsidRPr="005079A5" w:rsidRDefault="00EF05B0" w:rsidP="00EF05B0">
      <w:pPr>
        <w:pStyle w:val="NoSpacing"/>
        <w:rPr>
          <w:rFonts w:cstheme="minorHAnsi"/>
          <w:sz w:val="24"/>
          <w:szCs w:val="24"/>
        </w:rPr>
      </w:pPr>
    </w:p>
    <w:p w14:paraId="4C7B9E13" w14:textId="77777777" w:rsidR="00EF05B0" w:rsidRPr="005079A5" w:rsidRDefault="00EF05B0" w:rsidP="00480A67">
      <w:pPr>
        <w:pStyle w:val="NoSpacing"/>
        <w:numPr>
          <w:ilvl w:val="0"/>
          <w:numId w:val="8"/>
        </w:numPr>
        <w:rPr>
          <w:rFonts w:cstheme="minorHAnsi"/>
          <w:sz w:val="24"/>
          <w:szCs w:val="24"/>
        </w:rPr>
      </w:pPr>
      <w:r w:rsidRPr="005079A5">
        <w:rPr>
          <w:rFonts w:cstheme="minorHAnsi"/>
          <w:sz w:val="24"/>
          <w:szCs w:val="24"/>
        </w:rPr>
        <w:t>Sparrow currently has a LBGTQ caregiver grou</w:t>
      </w:r>
      <w:r w:rsidR="00BC686B" w:rsidRPr="005079A5">
        <w:rPr>
          <w:rFonts w:cstheme="minorHAnsi"/>
          <w:sz w:val="24"/>
          <w:szCs w:val="24"/>
        </w:rPr>
        <w:t>p. Amy Brown will pr</w:t>
      </w:r>
      <w:r w:rsidR="00820F7E" w:rsidRPr="005079A5">
        <w:rPr>
          <w:rFonts w:cstheme="minorHAnsi"/>
          <w:sz w:val="24"/>
          <w:szCs w:val="24"/>
        </w:rPr>
        <w:t>esent a thumbnail/information on</w:t>
      </w:r>
      <w:r w:rsidR="006D4F95" w:rsidRPr="005079A5">
        <w:rPr>
          <w:rFonts w:cstheme="minorHAnsi"/>
          <w:sz w:val="24"/>
          <w:szCs w:val="24"/>
        </w:rPr>
        <w:t xml:space="preserve"> </w:t>
      </w:r>
      <w:r w:rsidR="00BC686B" w:rsidRPr="005079A5">
        <w:rPr>
          <w:rFonts w:cstheme="minorHAnsi"/>
          <w:sz w:val="24"/>
          <w:szCs w:val="24"/>
        </w:rPr>
        <w:t xml:space="preserve">what this group has developed at a future CACNN meeting. Robert Rodway will also share the policies that his organization has developed. </w:t>
      </w:r>
      <w:r w:rsidR="00966A15" w:rsidRPr="005079A5">
        <w:rPr>
          <w:rFonts w:cstheme="minorHAnsi"/>
          <w:sz w:val="24"/>
          <w:szCs w:val="24"/>
        </w:rPr>
        <w:t>Ingham County Co</w:t>
      </w:r>
      <w:r w:rsidR="00BC686B" w:rsidRPr="005079A5">
        <w:rPr>
          <w:rFonts w:cstheme="minorHAnsi"/>
          <w:sz w:val="24"/>
          <w:szCs w:val="24"/>
        </w:rPr>
        <w:t xml:space="preserve">mmunity Health Centers may be another resource. </w:t>
      </w:r>
    </w:p>
    <w:p w14:paraId="3D6C1A51" w14:textId="77777777" w:rsidR="00017CE5" w:rsidRPr="005079A5" w:rsidRDefault="00017CE5" w:rsidP="00EF05B0">
      <w:pPr>
        <w:pStyle w:val="NoSpacing"/>
        <w:rPr>
          <w:rFonts w:cstheme="minorHAnsi"/>
          <w:sz w:val="24"/>
          <w:szCs w:val="24"/>
        </w:rPr>
      </w:pPr>
    </w:p>
    <w:p w14:paraId="773A5FFA" w14:textId="77777777" w:rsidR="00017CE5" w:rsidRPr="005079A5" w:rsidRDefault="00017CE5" w:rsidP="00480A67">
      <w:pPr>
        <w:pStyle w:val="NoSpacing"/>
        <w:numPr>
          <w:ilvl w:val="0"/>
          <w:numId w:val="8"/>
        </w:numPr>
        <w:rPr>
          <w:rFonts w:cstheme="minorHAnsi"/>
          <w:sz w:val="24"/>
          <w:szCs w:val="24"/>
        </w:rPr>
      </w:pPr>
      <w:r w:rsidRPr="005079A5">
        <w:rPr>
          <w:rFonts w:cstheme="minorHAnsi"/>
          <w:sz w:val="24"/>
          <w:szCs w:val="24"/>
        </w:rPr>
        <w:t>Would it be worthwhile for organization</w:t>
      </w:r>
      <w:r w:rsidR="00820F7E" w:rsidRPr="005079A5">
        <w:rPr>
          <w:rFonts w:cstheme="minorHAnsi"/>
          <w:sz w:val="24"/>
          <w:szCs w:val="24"/>
        </w:rPr>
        <w:t>s</w:t>
      </w:r>
      <w:r w:rsidRPr="005079A5">
        <w:rPr>
          <w:rFonts w:cstheme="minorHAnsi"/>
          <w:sz w:val="24"/>
          <w:szCs w:val="24"/>
        </w:rPr>
        <w:t xml:space="preserve"> to set forth expectations to have a diversity inclusion officer on staff? Another issue to look at is the need for more education and training on helping healthcare workers who face discrimination when caring for patients. How do we as nursing leaders support our nursing students and caregivers to have conversations regarding this? Some caregivers have said they have mostly white leadership and</w:t>
      </w:r>
      <w:r w:rsidR="00820F7E" w:rsidRPr="005079A5">
        <w:rPr>
          <w:rFonts w:cstheme="minorHAnsi"/>
          <w:sz w:val="24"/>
          <w:szCs w:val="24"/>
        </w:rPr>
        <w:t xml:space="preserve"> leaders do not</w:t>
      </w:r>
      <w:r w:rsidRPr="005079A5">
        <w:rPr>
          <w:rFonts w:cstheme="minorHAnsi"/>
          <w:sz w:val="24"/>
          <w:szCs w:val="24"/>
        </w:rPr>
        <w:t xml:space="preserve"> discuss discrimination with them. Conversation needs to happen to let them know they are supported (“caring for the caregivers.”)</w:t>
      </w:r>
    </w:p>
    <w:p w14:paraId="1580EFC3" w14:textId="77777777" w:rsidR="00017CE5" w:rsidRPr="005079A5" w:rsidRDefault="00017CE5" w:rsidP="00017CE5">
      <w:pPr>
        <w:pStyle w:val="NoSpacing"/>
        <w:rPr>
          <w:rFonts w:cstheme="minorHAnsi"/>
          <w:sz w:val="24"/>
          <w:szCs w:val="24"/>
        </w:rPr>
      </w:pPr>
    </w:p>
    <w:p w14:paraId="0E7ABBB9" w14:textId="77777777" w:rsidR="00017CE5" w:rsidRPr="005079A5" w:rsidRDefault="00017CE5" w:rsidP="00017CE5">
      <w:pPr>
        <w:pStyle w:val="NoSpacing"/>
        <w:rPr>
          <w:rFonts w:cstheme="minorHAnsi"/>
          <w:sz w:val="24"/>
          <w:szCs w:val="24"/>
        </w:rPr>
      </w:pPr>
      <w:r w:rsidRPr="005079A5">
        <w:rPr>
          <w:rFonts w:cstheme="minorHAnsi"/>
          <w:i/>
          <w:sz w:val="24"/>
          <w:szCs w:val="24"/>
        </w:rPr>
        <w:t>Next Steps:</w:t>
      </w:r>
      <w:r w:rsidRPr="005079A5">
        <w:rPr>
          <w:rFonts w:cstheme="minorHAnsi"/>
          <w:sz w:val="24"/>
          <w:szCs w:val="24"/>
        </w:rPr>
        <w:t xml:space="preserve"> A plan will be developed for discussion for each of these issues at CACNN’s next meeting.</w:t>
      </w:r>
    </w:p>
    <w:p w14:paraId="15805E4F" w14:textId="77777777" w:rsidR="00017CE5" w:rsidRPr="005079A5" w:rsidRDefault="00017CE5" w:rsidP="00EF05B0">
      <w:pPr>
        <w:pStyle w:val="NoSpacing"/>
        <w:rPr>
          <w:rFonts w:cstheme="minorHAnsi"/>
          <w:sz w:val="24"/>
          <w:szCs w:val="24"/>
        </w:rPr>
      </w:pPr>
    </w:p>
    <w:p w14:paraId="78AEB5B7" w14:textId="77777777" w:rsidR="00017CE5" w:rsidRPr="005079A5" w:rsidRDefault="00017CE5" w:rsidP="00017CE5">
      <w:pPr>
        <w:pStyle w:val="NoSpacing"/>
        <w:rPr>
          <w:rFonts w:cstheme="minorHAnsi"/>
          <w:sz w:val="24"/>
          <w:szCs w:val="24"/>
        </w:rPr>
      </w:pPr>
      <w:r w:rsidRPr="005079A5">
        <w:rPr>
          <w:rFonts w:cstheme="minorHAnsi"/>
          <w:sz w:val="24"/>
          <w:szCs w:val="24"/>
        </w:rPr>
        <w:t xml:space="preserve">The committee expressed appreciation to those who worked on the Health Equity &amp; Whole Person Care survey, specifically to Mary Anne Ford and Kelly Brittain for their leadership. </w:t>
      </w:r>
    </w:p>
    <w:p w14:paraId="617E3673" w14:textId="77777777" w:rsidR="00720DA8" w:rsidRPr="005079A5" w:rsidRDefault="00720DA8" w:rsidP="004A428F">
      <w:pPr>
        <w:pStyle w:val="NoSpacing"/>
        <w:rPr>
          <w:rFonts w:cstheme="minorHAnsi"/>
          <w:sz w:val="24"/>
          <w:szCs w:val="24"/>
        </w:rPr>
      </w:pPr>
    </w:p>
    <w:p w14:paraId="41FBB51D" w14:textId="77777777" w:rsidR="002411D7" w:rsidRPr="005079A5" w:rsidRDefault="002411D7" w:rsidP="007F1F21">
      <w:pPr>
        <w:pStyle w:val="NoSpacing"/>
        <w:rPr>
          <w:rFonts w:cstheme="minorHAnsi"/>
          <w:sz w:val="24"/>
          <w:szCs w:val="24"/>
        </w:rPr>
      </w:pPr>
    </w:p>
    <w:p w14:paraId="398ADB73" w14:textId="4E177A2D" w:rsidR="00DB27D5" w:rsidRPr="005079A5" w:rsidRDefault="00FE68C9" w:rsidP="007F1F21">
      <w:pPr>
        <w:pStyle w:val="NoSpacing"/>
        <w:numPr>
          <w:ilvl w:val="0"/>
          <w:numId w:val="7"/>
        </w:numPr>
        <w:rPr>
          <w:rFonts w:cstheme="minorHAnsi"/>
          <w:sz w:val="24"/>
          <w:szCs w:val="24"/>
        </w:rPr>
      </w:pPr>
      <w:r w:rsidRPr="005079A5">
        <w:rPr>
          <w:rFonts w:cstheme="minorHAnsi"/>
          <w:b/>
          <w:sz w:val="24"/>
          <w:szCs w:val="24"/>
        </w:rPr>
        <w:t>Next meeting.</w:t>
      </w:r>
      <w:r w:rsidR="00017CE5" w:rsidRPr="005079A5">
        <w:rPr>
          <w:rFonts w:cstheme="minorHAnsi"/>
          <w:sz w:val="24"/>
          <w:szCs w:val="24"/>
        </w:rPr>
        <w:t xml:space="preserve"> October 14, 2020 </w:t>
      </w:r>
    </w:p>
    <w:p w14:paraId="1F119D6D" w14:textId="77777777" w:rsidR="002E5B1E" w:rsidRDefault="002E5B1E" w:rsidP="00A640F3">
      <w:pPr>
        <w:pStyle w:val="NoSpacing"/>
      </w:pPr>
    </w:p>
    <w:sectPr w:rsidR="002E5B1E" w:rsidSect="00871BA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6CB"/>
    <w:multiLevelType w:val="hybridMultilevel"/>
    <w:tmpl w:val="B23ACEFC"/>
    <w:lvl w:ilvl="0" w:tplc="93383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14DD"/>
    <w:multiLevelType w:val="hybridMultilevel"/>
    <w:tmpl w:val="479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1941"/>
    <w:multiLevelType w:val="hybridMultilevel"/>
    <w:tmpl w:val="0F8232CE"/>
    <w:lvl w:ilvl="0" w:tplc="72F22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E4828"/>
    <w:multiLevelType w:val="hybridMultilevel"/>
    <w:tmpl w:val="C260883A"/>
    <w:lvl w:ilvl="0" w:tplc="5B4E24A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E4CD2"/>
    <w:multiLevelType w:val="hybridMultilevel"/>
    <w:tmpl w:val="5D4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47994"/>
    <w:multiLevelType w:val="hybridMultilevel"/>
    <w:tmpl w:val="A874DE96"/>
    <w:lvl w:ilvl="0" w:tplc="5B4E24A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B1B9A"/>
    <w:multiLevelType w:val="hybridMultilevel"/>
    <w:tmpl w:val="2D383140"/>
    <w:lvl w:ilvl="0" w:tplc="3A2624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86E2A"/>
    <w:multiLevelType w:val="hybridMultilevel"/>
    <w:tmpl w:val="CA26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312F6"/>
    <w:multiLevelType w:val="hybridMultilevel"/>
    <w:tmpl w:val="6BA889F8"/>
    <w:lvl w:ilvl="0" w:tplc="6F769A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21"/>
    <w:rsid w:val="00006070"/>
    <w:rsid w:val="00013BF5"/>
    <w:rsid w:val="00014C40"/>
    <w:rsid w:val="00017CE5"/>
    <w:rsid w:val="00023204"/>
    <w:rsid w:val="00036045"/>
    <w:rsid w:val="0004395A"/>
    <w:rsid w:val="00067142"/>
    <w:rsid w:val="00075D4A"/>
    <w:rsid w:val="00094A8E"/>
    <w:rsid w:val="000B489B"/>
    <w:rsid w:val="000E0EAA"/>
    <w:rsid w:val="000E2D20"/>
    <w:rsid w:val="000F2295"/>
    <w:rsid w:val="00101262"/>
    <w:rsid w:val="001039A4"/>
    <w:rsid w:val="00105090"/>
    <w:rsid w:val="00111C4E"/>
    <w:rsid w:val="00135F99"/>
    <w:rsid w:val="001666DB"/>
    <w:rsid w:val="001A2962"/>
    <w:rsid w:val="001D0AAF"/>
    <w:rsid w:val="001E095A"/>
    <w:rsid w:val="001E3880"/>
    <w:rsid w:val="00225ADA"/>
    <w:rsid w:val="002411D7"/>
    <w:rsid w:val="0027569B"/>
    <w:rsid w:val="002839AC"/>
    <w:rsid w:val="002845C6"/>
    <w:rsid w:val="002A6C51"/>
    <w:rsid w:val="002A76F8"/>
    <w:rsid w:val="002B289E"/>
    <w:rsid w:val="002D77D2"/>
    <w:rsid w:val="002E5B1E"/>
    <w:rsid w:val="002F44C5"/>
    <w:rsid w:val="00325098"/>
    <w:rsid w:val="003555F6"/>
    <w:rsid w:val="00362988"/>
    <w:rsid w:val="0036792B"/>
    <w:rsid w:val="00377484"/>
    <w:rsid w:val="00387C47"/>
    <w:rsid w:val="00392AB3"/>
    <w:rsid w:val="003961D6"/>
    <w:rsid w:val="003A26AD"/>
    <w:rsid w:val="003C388D"/>
    <w:rsid w:val="003F0857"/>
    <w:rsid w:val="00436255"/>
    <w:rsid w:val="00463016"/>
    <w:rsid w:val="0047607E"/>
    <w:rsid w:val="00480A67"/>
    <w:rsid w:val="00491521"/>
    <w:rsid w:val="00491A8D"/>
    <w:rsid w:val="004A428F"/>
    <w:rsid w:val="004E18FF"/>
    <w:rsid w:val="004E34E0"/>
    <w:rsid w:val="005000AC"/>
    <w:rsid w:val="005079A5"/>
    <w:rsid w:val="00511795"/>
    <w:rsid w:val="005162DE"/>
    <w:rsid w:val="0054312B"/>
    <w:rsid w:val="00551C63"/>
    <w:rsid w:val="00554692"/>
    <w:rsid w:val="0055677D"/>
    <w:rsid w:val="00560BFF"/>
    <w:rsid w:val="00595595"/>
    <w:rsid w:val="005A10CD"/>
    <w:rsid w:val="005B2A41"/>
    <w:rsid w:val="005B4AB8"/>
    <w:rsid w:val="005C3AAB"/>
    <w:rsid w:val="005D0C9C"/>
    <w:rsid w:val="005E2FFB"/>
    <w:rsid w:val="005F58CB"/>
    <w:rsid w:val="005F5C4B"/>
    <w:rsid w:val="005F76BA"/>
    <w:rsid w:val="006073F9"/>
    <w:rsid w:val="00612324"/>
    <w:rsid w:val="00622F82"/>
    <w:rsid w:val="00646990"/>
    <w:rsid w:val="00695CD3"/>
    <w:rsid w:val="006A62D2"/>
    <w:rsid w:val="006D4F95"/>
    <w:rsid w:val="006E4B07"/>
    <w:rsid w:val="006F3BA1"/>
    <w:rsid w:val="00702F3F"/>
    <w:rsid w:val="00714B8E"/>
    <w:rsid w:val="00720DA8"/>
    <w:rsid w:val="007231C8"/>
    <w:rsid w:val="00730074"/>
    <w:rsid w:val="00760008"/>
    <w:rsid w:val="0076306D"/>
    <w:rsid w:val="00784E4E"/>
    <w:rsid w:val="00792043"/>
    <w:rsid w:val="007A3BA8"/>
    <w:rsid w:val="007B17E5"/>
    <w:rsid w:val="007C4ADC"/>
    <w:rsid w:val="007E7AB2"/>
    <w:rsid w:val="007F1F21"/>
    <w:rsid w:val="008010CE"/>
    <w:rsid w:val="00814E0F"/>
    <w:rsid w:val="00820F7E"/>
    <w:rsid w:val="00835F56"/>
    <w:rsid w:val="00871BA2"/>
    <w:rsid w:val="00877883"/>
    <w:rsid w:val="008B7F0C"/>
    <w:rsid w:val="008C34A5"/>
    <w:rsid w:val="008C7CCA"/>
    <w:rsid w:val="008D4FE8"/>
    <w:rsid w:val="008D4FFB"/>
    <w:rsid w:val="008D6B06"/>
    <w:rsid w:val="008D6B7E"/>
    <w:rsid w:val="008E757A"/>
    <w:rsid w:val="008E7740"/>
    <w:rsid w:val="008F79FD"/>
    <w:rsid w:val="00917157"/>
    <w:rsid w:val="00933A71"/>
    <w:rsid w:val="009378EA"/>
    <w:rsid w:val="00941F9F"/>
    <w:rsid w:val="00966A15"/>
    <w:rsid w:val="009700AF"/>
    <w:rsid w:val="00970F0C"/>
    <w:rsid w:val="00985011"/>
    <w:rsid w:val="00990BC9"/>
    <w:rsid w:val="0099788B"/>
    <w:rsid w:val="009A1C88"/>
    <w:rsid w:val="00A015DA"/>
    <w:rsid w:val="00A02C80"/>
    <w:rsid w:val="00A04659"/>
    <w:rsid w:val="00A10579"/>
    <w:rsid w:val="00A1290A"/>
    <w:rsid w:val="00A2133E"/>
    <w:rsid w:val="00A24639"/>
    <w:rsid w:val="00A277D9"/>
    <w:rsid w:val="00A30A10"/>
    <w:rsid w:val="00A325A5"/>
    <w:rsid w:val="00A545BB"/>
    <w:rsid w:val="00A6125A"/>
    <w:rsid w:val="00A640F3"/>
    <w:rsid w:val="00A80552"/>
    <w:rsid w:val="00A86C95"/>
    <w:rsid w:val="00A87FB4"/>
    <w:rsid w:val="00A969CF"/>
    <w:rsid w:val="00AD5927"/>
    <w:rsid w:val="00AD6BE6"/>
    <w:rsid w:val="00B13CF3"/>
    <w:rsid w:val="00B3104C"/>
    <w:rsid w:val="00B44966"/>
    <w:rsid w:val="00B751ED"/>
    <w:rsid w:val="00B95F62"/>
    <w:rsid w:val="00BA1CDE"/>
    <w:rsid w:val="00BB08AE"/>
    <w:rsid w:val="00BB4441"/>
    <w:rsid w:val="00BC5A2E"/>
    <w:rsid w:val="00BC686B"/>
    <w:rsid w:val="00BE1FD0"/>
    <w:rsid w:val="00C46FDE"/>
    <w:rsid w:val="00C7522B"/>
    <w:rsid w:val="00C9144D"/>
    <w:rsid w:val="00CB54E6"/>
    <w:rsid w:val="00CB7338"/>
    <w:rsid w:val="00CE5C9D"/>
    <w:rsid w:val="00D13095"/>
    <w:rsid w:val="00D235A1"/>
    <w:rsid w:val="00D31615"/>
    <w:rsid w:val="00D47A22"/>
    <w:rsid w:val="00D53697"/>
    <w:rsid w:val="00D66B17"/>
    <w:rsid w:val="00D713ED"/>
    <w:rsid w:val="00D74E6A"/>
    <w:rsid w:val="00D81B63"/>
    <w:rsid w:val="00D9561F"/>
    <w:rsid w:val="00D95F27"/>
    <w:rsid w:val="00DA0EB2"/>
    <w:rsid w:val="00DB27D5"/>
    <w:rsid w:val="00DB6C1F"/>
    <w:rsid w:val="00DB6E91"/>
    <w:rsid w:val="00DE4CEC"/>
    <w:rsid w:val="00DF60FF"/>
    <w:rsid w:val="00E00FBB"/>
    <w:rsid w:val="00E133F3"/>
    <w:rsid w:val="00E15DF7"/>
    <w:rsid w:val="00E27FAD"/>
    <w:rsid w:val="00E364DD"/>
    <w:rsid w:val="00E56979"/>
    <w:rsid w:val="00E659B5"/>
    <w:rsid w:val="00E7146E"/>
    <w:rsid w:val="00E87F2F"/>
    <w:rsid w:val="00E9718A"/>
    <w:rsid w:val="00EB2855"/>
    <w:rsid w:val="00EB77D6"/>
    <w:rsid w:val="00EC171C"/>
    <w:rsid w:val="00ED004F"/>
    <w:rsid w:val="00ED3C4F"/>
    <w:rsid w:val="00EF05B0"/>
    <w:rsid w:val="00F462ED"/>
    <w:rsid w:val="00F47B33"/>
    <w:rsid w:val="00F47C3A"/>
    <w:rsid w:val="00F55F23"/>
    <w:rsid w:val="00F87E0D"/>
    <w:rsid w:val="00F92E46"/>
    <w:rsid w:val="00FB1ABD"/>
    <w:rsid w:val="00FB333E"/>
    <w:rsid w:val="00FC26AE"/>
    <w:rsid w:val="00FC2D67"/>
    <w:rsid w:val="00FE2060"/>
    <w:rsid w:val="00FE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9945"/>
  <w15:chartTrackingRefBased/>
  <w15:docId w15:val="{DC61B111-A7BA-4C85-A468-67A90476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F21"/>
    <w:pPr>
      <w:spacing w:after="0" w:line="240" w:lineRule="auto"/>
    </w:pPr>
  </w:style>
  <w:style w:type="character" w:styleId="Hyperlink">
    <w:name w:val="Hyperlink"/>
    <w:basedOn w:val="DefaultParagraphFont"/>
    <w:uiPriority w:val="99"/>
    <w:unhideWhenUsed/>
    <w:rsid w:val="00A30A10"/>
    <w:rPr>
      <w:color w:val="0563C1" w:themeColor="hyperlink"/>
      <w:u w:val="single"/>
    </w:rPr>
  </w:style>
  <w:style w:type="paragraph" w:styleId="ListParagraph">
    <w:name w:val="List Paragraph"/>
    <w:basedOn w:val="Normal"/>
    <w:uiPriority w:val="34"/>
    <w:qFormat/>
    <w:rsid w:val="00CB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Glesnesanderson</dc:creator>
  <cp:keywords/>
  <dc:description/>
  <cp:lastModifiedBy>kathy@cahealthalliance.org</cp:lastModifiedBy>
  <cp:revision>5</cp:revision>
  <dcterms:created xsi:type="dcterms:W3CDTF">2020-08-19T16:29:00Z</dcterms:created>
  <dcterms:modified xsi:type="dcterms:W3CDTF">2020-08-19T16:39:00Z</dcterms:modified>
</cp:coreProperties>
</file>